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FC74" w14:textId="1ABE03AC" w:rsidR="00F401A8" w:rsidRPr="00AD0310" w:rsidRDefault="006D6EB5" w:rsidP="008F2EED">
      <w:pPr>
        <w:pStyle w:val="Nagwek1"/>
        <w:jc w:val="center"/>
        <w:rPr>
          <w:rFonts w:ascii="Arial" w:hAnsi="Arial"/>
          <w:b/>
          <w:color w:val="0000FF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085E" wp14:editId="4BDA8F73">
                <wp:simplePos x="0" y="0"/>
                <wp:positionH relativeFrom="margin">
                  <wp:posOffset>-260985</wp:posOffset>
                </wp:positionH>
                <wp:positionV relativeFrom="paragraph">
                  <wp:posOffset>892810</wp:posOffset>
                </wp:positionV>
                <wp:extent cx="6130925" cy="0"/>
                <wp:effectExtent l="10795" t="9525" r="11430" b="9525"/>
                <wp:wrapNone/>
                <wp:docPr id="7451495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A57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.55pt,70.3pt" to="462.2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" strokecolor="#4bacc6 [3208]" strokeweight="1pt">
                <v:shadow color="#205867 [1608]" offset="1pt"/>
                <w10:wrap anchorx="margin"/>
              </v:line>
            </w:pict>
          </mc:Fallback>
        </mc:AlternateContent>
      </w:r>
      <w:r w:rsidR="008F2EED">
        <w:rPr>
          <w:noProof/>
        </w:rPr>
        <w:drawing>
          <wp:inline distT="0" distB="0" distL="0" distR="0" wp14:anchorId="59D59F82" wp14:editId="6FE9D059">
            <wp:extent cx="3208020" cy="95609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95" cy="98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BDF1" w14:textId="77777777" w:rsidR="00F401A8" w:rsidRPr="008F2EED" w:rsidRDefault="00F401A8" w:rsidP="00F401A8">
      <w:pPr>
        <w:spacing w:before="60"/>
        <w:jc w:val="center"/>
        <w:rPr>
          <w:rStyle w:val="Hipercze"/>
          <w:rFonts w:asciiTheme="minorHAnsi" w:hAnsiTheme="minorHAnsi" w:cstheme="minorHAnsi"/>
          <w:color w:val="000000" w:themeColor="text1"/>
          <w:sz w:val="20"/>
          <w:szCs w:val="20"/>
        </w:rPr>
      </w:pPr>
      <w:r w:rsidRPr="008F2E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Siedziba Zarządu Głównego; tel. 500 447 262 </w:t>
      </w:r>
      <w:r w:rsidR="00823839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ul. </w:t>
      </w:r>
      <w:r w:rsidR="003109CA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Chmielna 2 lok 31</w:t>
      </w:r>
      <w:r w:rsidR="00823839" w:rsidRPr="008F2EED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3109CA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00-0</w:t>
      </w:r>
      <w:r w:rsidR="00823839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</w:t>
      </w:r>
      <w:r w:rsidR="003109CA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0</w:t>
      </w:r>
      <w:r w:rsidR="00823839" w:rsidRPr="008F2EE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Warszawa</w:t>
      </w:r>
      <w:r w:rsidRPr="008F2E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</w:t>
      </w:r>
      <w:hyperlink r:id="rId8" w:history="1">
        <w:r w:rsidR="00944B6B" w:rsidRPr="00000450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www.sdsiz.com.pl</w:t>
        </w:r>
      </w:hyperlink>
      <w:r w:rsidRPr="0000045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8F2E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9" w:history="1">
        <w:r w:rsidR="00944B6B" w:rsidRPr="008F2EE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biuro@sdsiz.com.pl</w:t>
        </w:r>
      </w:hyperlink>
    </w:p>
    <w:p w14:paraId="37828B30" w14:textId="77777777" w:rsidR="00F401A8" w:rsidRDefault="00F401A8" w:rsidP="00F401A8">
      <w:pPr>
        <w:tabs>
          <w:tab w:val="left" w:pos="3218"/>
        </w:tabs>
        <w:jc w:val="center"/>
        <w:rPr>
          <w:b/>
          <w:sz w:val="32"/>
          <w:szCs w:val="32"/>
        </w:rPr>
      </w:pPr>
    </w:p>
    <w:p w14:paraId="2622729A" w14:textId="77777777" w:rsidR="000330A5" w:rsidRDefault="000330A5" w:rsidP="00944B6B">
      <w:pPr>
        <w:tabs>
          <w:tab w:val="left" w:pos="3218"/>
        </w:tabs>
        <w:jc w:val="right"/>
        <w:rPr>
          <w:rFonts w:ascii="Arial" w:hAnsi="Arial" w:cs="Arial"/>
          <w:sz w:val="20"/>
          <w:szCs w:val="20"/>
        </w:rPr>
      </w:pPr>
    </w:p>
    <w:p w14:paraId="2B797B00" w14:textId="17081584" w:rsidR="006D6EB5" w:rsidRPr="006D6EB5" w:rsidRDefault="006D6EB5" w:rsidP="006D6EB5">
      <w:pPr>
        <w:spacing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Warszawa, 2</w:t>
      </w:r>
      <w:r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października 2025 r.</w:t>
      </w:r>
    </w:p>
    <w:p w14:paraId="6E7085B1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C5B735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Stowarzyszenie Doradców Szkolnych i Zawodowych Rzeczypospolitej Polskiej</w:t>
      </w:r>
    </w:p>
    <w:p w14:paraId="55125946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ul. Chmielna 2 lok. 31</w:t>
      </w:r>
    </w:p>
    <w:p w14:paraId="3BF7B75C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00-020 Warszawa</w:t>
      </w:r>
    </w:p>
    <w:p w14:paraId="2942119A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6A9F7DE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96DEF6" w14:textId="77777777" w:rsidR="006D6EB5" w:rsidRPr="006D6EB5" w:rsidRDefault="006D6EB5" w:rsidP="006D6EB5">
      <w:pPr>
        <w:spacing w:line="276" w:lineRule="auto"/>
        <w:ind w:left="5245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sz w:val="24"/>
          <w:szCs w:val="24"/>
          <w:lang w:eastAsia="pl-PL"/>
        </w:rPr>
        <w:t>Ministerstwo Edukacji i Nauki</w:t>
      </w:r>
    </w:p>
    <w:p w14:paraId="33F438A4" w14:textId="77777777" w:rsidR="006D6EB5" w:rsidRPr="006D6EB5" w:rsidRDefault="006D6EB5" w:rsidP="006D6EB5">
      <w:pPr>
        <w:spacing w:line="276" w:lineRule="auto"/>
        <w:ind w:left="5245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B2DCB0A" w14:textId="77777777" w:rsidR="006D6EB5" w:rsidRPr="006D6EB5" w:rsidRDefault="006D6EB5" w:rsidP="006D6EB5">
      <w:pPr>
        <w:spacing w:line="276" w:lineRule="auto"/>
        <w:ind w:left="5245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6D301D7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i/>
          <w:sz w:val="24"/>
          <w:szCs w:val="24"/>
          <w:lang w:eastAsia="pl-PL"/>
        </w:rPr>
        <w:t>Dotyczy:</w:t>
      </w:r>
      <w:r w:rsidRPr="006D6EB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Konsultacje publiczne projektu rozporządzenia Ministra Edukacji z dnia 30 września 2025 r. zmieniającego rozporządzenie w sprawie doradztwa zawodowego wraz z OSR i uzasadnieniem (znak: DKZ-WMRP.400.1.2025.BDS.5)</w:t>
      </w:r>
    </w:p>
    <w:p w14:paraId="47FA92AF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DA2DE5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sz w:val="24"/>
          <w:szCs w:val="24"/>
          <w:lang w:eastAsia="pl-PL"/>
        </w:rPr>
        <w:t>Szanowni Państwo,</w:t>
      </w:r>
    </w:p>
    <w:p w14:paraId="371FA0BB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65E732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pismo Ministra Edukacji z dnia 6 października 2025 r. (znak: DKZ-WMRP.400.1.2025.BDS.5) w sprawie konsultacji publicznych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projektu rozporządzenia z dnia 30 września 2025 r. zmieniającego rozporządzenie w sprawie doradztwa zawodowego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Stowarzyszenie Doradców Szkolnych i Zawodowych RP przedstawia poniższe stanowisko. Działając na podstawie § 36 ust. 1 uchwały nr 190 Rady Ministrów z dnia 29 października 2013 r. –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Regulaminu pracy Rady Ministrów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, dziękujemy za możliwość zgłoszenia uwag do przedmiotowego projektu.</w:t>
      </w:r>
    </w:p>
    <w:p w14:paraId="07634B06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41E133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Na wstępie Stowarzyszenie pragnie podkreślić, że z zadowoleniem przyjmuje inicjatywę aktualizacji rozporządzenia z 2019 r. po upływie sześciu lat jego obowiązywania. W projekcie dostrzegamy pozytywne zmiany, m.in. uwzględnienie nowych narzędzi i instytucji w systemie doradztwa (prognozy zapotrzebowania na zawody, monitoring karier absolwentów,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branżowe centra umiejętności (BCU)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oraz platformy cyfrowe takie jak Zintegrowana Platforma Edukacyjna i „Infozawodowe”). Proponowane zmiany wychodzą naprzeciw zmieniającym się trendom na rynku pracy oraz cyfrowej transformacji edukacji. Stowarzyszenie popiera także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włączenie strony społecznej w proces aktualizacji treści programowych, zgodnie z postulatami zgłaszanymi do Ministerstwa przez doradców i nauczycieli.</w:t>
      </w:r>
    </w:p>
    <w:p w14:paraId="056927F7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E2ED851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Jednocześnie, po analizie projektu rozporządzenia,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Oceny Skutków Regulacji (OSR)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i uzasadnienia, wskazujemy na obszary wymagające dalszych uzupełnień lub korekt. Poniżej przedstawiamy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szczegółowe uwagi i propozycje zmian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, zawierające odniesienie do konkretnych zapisów projektu oraz OSR, wraz z uzasadnieniem merytorycznym i formalnym każdej z proponowanych modyfikacji.</w:t>
      </w:r>
    </w:p>
    <w:p w14:paraId="562D6DFF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E1AFEC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sz w:val="24"/>
          <w:szCs w:val="24"/>
          <w:lang w:eastAsia="pl-PL"/>
        </w:rPr>
        <w:t>Szczegółowe uwagi i propozycje zmian:</w:t>
      </w:r>
    </w:p>
    <w:p w14:paraId="1826B3DF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Wprowadzenie minimalnych standardów zatrudniania etatowych doradców (doradców kariery)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projekt rozporządzenia nie określa wymogów dotyczących liczby lub formy zatrudnienia doradców zawodowych w szkołach. W ocenie Stowarzyszenia konieczne jest uzupełnienie przepisów o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minimalne standardy etatowego zatrudnienia doradców kariery w szkołach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analogicznie do standardów zatrudniania nauczycieli-specjalistów (pedagogów, psychologów itp.). Obecnie obowiązujące regulacje standardów nie obejmują doradców zawodowych – etaty doradców nie są wliczane do minimalnej liczby specjalistów w szkole. W praktyce prowadzi to do sytuacji, w której wiele szkół nie zatrudnia odrębnego doradcy na etat, a zadania z zakresu doradztwa realizują „dorywczo” nauczyciele innych przedmiotów. Proponujemy wprowadzić zapis gwarantujący, że każda szkoła (w szczególności każda szkoła ponadpodstawowa, a docelowo także większe szkoły podstawowe) dysponuje co najmniej jednym etatowym doradcą kariery. Minimalny standard mógłby być powiązany z liczbą uczniów (np. 1 etat doradcy na określoną liczbę uczniów, zgodnie z zasadą zapewnienia równego dostępu do usług doradczych). </w:t>
      </w:r>
    </w:p>
    <w:p w14:paraId="1FCF4243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Taki wymóg formalny w rozporządzeniu podniesie rangę doradztwa zawodowego w systemie oświaty i zapewni każdemu uczniowi dostęp do profesjonalnego wsparcia w planowaniu kariery. Zatrudnienie etatowych doradców poprawi jakość realizowanych usług doradczych i umożliwi skuteczniejsze wdrażanie nowych treści programowych. Ponadto wpisanie standardów zatrudnienia do rozporządzenia urealni koszty wdrożenia reformy – obecnie OSR zakłada brak wpływu zmian na finanse publiczne, co nie uwzględnia potencjalnej potrzeby zwiększenia etatów doradczych.</w:t>
      </w:r>
    </w:p>
    <w:p w14:paraId="6D2DCC6B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Zmiana nazwy z „doradca zawodowy” na „doradca kariery”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postulujemy dokonanie zmiany nazewnictwa we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wszystkich zapisach projektu rozporządzenia (oraz w OSR i uzasadnieniu)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polegającej na zastąpieniu określenia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„doradca zawodowy”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terminem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„doradca kariery”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. Określenie „doradca kariery” lepiej oddaje współczesny zakres zadań i kompetencji tych specjalistów, wykraczający poza wąskie postrzeganie pracy doradcy jako „doradzania” przy wyborze zawodu. Doradca kariery to osoba wspierająca ucznia w całościowym planowaniu ścieżki edukacyjno-zawodowej oraz rozwoju kompetencji zawodowych i osobistych na różnych etapach życia. Zmiana nazwy zbliży polskie nazewnictwo do standardów europejskich i globalnych (gdzie używa się określeń typu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lastRenderedPageBreak/>
        <w:t>career advisor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career counselor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) oraz podkreśli, że doradztwo szkolne dotyczy szeroko rozumianego planowania kariery (a nie jedynie jednorazowego wyboru zawodu). </w:t>
      </w:r>
    </w:p>
    <w:p w14:paraId="11081B09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Jest to zmiana merytoryczna i formalna – wymaga konsekwentnej aktualizacji przepisów rozporządzenia, ale nie rodzi skutków finansowych. Wręcz przeciwnie, ujednolicenie nomenklatury może pozytywnie wpłynąć na postrzeganie roli doradcy przez uczniów, rodziców i pracodawców. Podkreślamy, że zmiana nazwy nie wymaga zmiany przepisów ustawowych (Prawo oświatowe posługuje się ogólnym pojęciem „doradztwa zawodowego”), więc może zostać przeprowadzona na poziomie rozporządzenia. Zalecamy, aby odpowiednie korekty nanieść również w treści OSR i uzasadnienia, tak by wszystkie dokumenty związane z projektem były spójne terminologicznie.</w:t>
      </w:r>
    </w:p>
    <w:p w14:paraId="7F01ECFA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Określenie mierzalnych efektów pracy ucznia w ramach doradztwa (portfolio, Indywidualny Plan Działania, kontakty z rynkiem pracy)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proponujemy, aby w treściach programowych doradztwa zawodowego (załączniki do rozporządzenia) oraz w opisie zadań doradcy pojawiły się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mierzalne rezultaty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jakie każdy uczeń powinien osiągnąć dzięki uczestnictwu w doradztwie. W szczególności rekomendujemy uwzględnić trzy rezultaty pracy ucznia: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(a)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portfolio osiągnięć i kompetencji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np. stworzenie przez ucznia portfolio edukacyjno-zawodowego dokumentującego jego osiągnięcia, zainteresowania, mocne strony i zdobyte kwalifikacje;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(b)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Indywidualny Plan Działania (IPD) w obszarze kariery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czyli osobisty plan kolejnych kroków edukacyjnych i zawodowych ucznia, opracowany we współpracy z doradcą;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(c)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udokumentowane kontakty ucznia z rynkiem pracy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np. lista odbytych wizyt zawodoznawczych, spotkań z pracodawcami, udziału w targach edukacyjno-zawodowych czy projektach związanych z pracą. </w:t>
      </w:r>
    </w:p>
    <w:p w14:paraId="07ED2251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Wprowadzenie wymogu osiągnięcia przez uczniów powyższych rezultatów uczyni doradztwo bardziej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efektywnościowe i sprawdzalne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. Obecnie rozporządzenie skupia się na procesie (działaniach doradczych), natomiast określenie wymiernych efektów po stronie uczniów pozwoli lepiej ocenić skuteczność doradztwa. Formalnie, propozycja ta wymaga dodania odpowiednich zapisów w części opisującej program doradztwa (np. w podstawowych celach doradztwa zawodowego dla danego etapu edukacyjnego). Portfolia i IPD są już dobrymi praktykami w wielu szkołach – usankcjonowanie ich w przepisach ujednolici standardy. Dzięki temu każdy absolwent opuści szkołę wyposażony w konkretne materiały i plany pomocne przy wejściu na rynek pracy lub kontynuacji nauki.</w:t>
      </w:r>
    </w:p>
    <w:p w14:paraId="2F4A3BB1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Wprowadzenie obowiązkowych doświadczeń uczniów w świecie pracy (wizyty, spotkania z pracodawcami itp.)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z zadowoleniem przyjmujemy dodanie w projekcie zapisu rozszerzającego katalog miejsc realizacji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wizyt zawodoznawczych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i wskazującego na organizowanie takich wizyt u pracodawców oraz w BCU. Postulujemy jednak, aby pójść krok dalej i wprowadzić wymóg, by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każdy uczeń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na określonym etapie edukacyjnym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uczestniczył co najmniej w jednym doświadczeniu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bezpośredniego kontaktu ze światem pracy. Do takich doświadczeń zaliczamy np.: wizyty zawodoznawcze w zakładach pracy lub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centrach umiejętności, spotkania z przedstawicielami zawodów (praktykami, przedsiębiorcami), udział w dniach otwartych szkół branżowych, targach pracy lub praktyki/staże uczniowskie (o ile to możliwe). Proponujemy, by rozporządzenie nałożyło na szkoły obowiązek zapewnienia każdemu uczniowi możliwości odbycia minimum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jednej wizyty lub wydarzenia praktycznego rocznie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związanego z rynkiem pracy (zwłaszcza na poziomie szkoły ponadpodstawowej). </w:t>
      </w:r>
    </w:p>
    <w:p w14:paraId="4DE0CCF7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Bezpośrednie doświadczenia są niezastąpionym elementem doradztwa – pozwalają uczniom zweryfikować wyobrażenia o zawodach, poznać środowisko pracy i nawiązać pierwsze kontakty z pracodawcami. Formalne usankcjonowanie takiego obowiązku (z jednoczesnym określeniem, że szkoła organizuje je w ramach programu doradztwa) zwiększy zaangażowanie szkół w tego typu działania. W projekcie już przewidziano obowiązek ujęcia wizyt w programie doradztwa, jednak doprecyzowanie minimalnej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liczby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takich działań gwarantuje, że nie pozostaną one jedynie na papierze. Taka zmiana jest spójna z intencją projektodawcy, by zacieśnić związek doradztwa z rynkiem pracy. Wymóg ten może zostać wprowadzony poprzez dodanie w §3 projektu ust. 7 zapisu o „co najmniej X wizytach/wydarzeniach w roku” lub analogicznie w wymaganiach programowych dla poszczególnych etapów.</w:t>
      </w:r>
    </w:p>
    <w:p w14:paraId="44240D80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Wzmocnienie współpracy z BCU i pracodawcami poprzez minimalną liczbę wspólnych działań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projekt dostrzega rolę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branżowych centrów umiejętności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i pracodawców, m.in. zobowiązując do współpracy przy tworzeniu programu doradztwa zawodowego oraz organizacji wizyt u pracodawców/BCU. Stowarzyszenie proponuje wprowadzenie bardziej konkretnych wskaźników tej współpracy.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Minimalna liczba działań zewnętrznych partnerów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(BCU, pracodawców, izb gospodarczych) powinna zostać określona – np. szkoła w ramach doradztwa musi w każdym semestrze podjąć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co najmniej jedną inicjatywę we współpracy z partnerem zewnętrznym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. Może to obejmować: wspólne warsztaty dla uczniów prowadzone przez specjalistów z branży, wyjścia uczniów do BCU na zajęcia praktyczne, zaproszenie pracodawcy do udziału w szkolnym dniu kariery, patronaty honorowe pracodawców nad przedsięwzięciami uczniowskimi itp. </w:t>
      </w:r>
    </w:p>
    <w:p w14:paraId="3626C550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Taki zapis zapewni, że współpraca z otoczeniem społeczno-gospodarczym będzie elementem stałym, a nie okazjonalnym. Określenie minimum działań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per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rok szkolny/semestrem tworzy miernik, który można później monitorować. Jest to zgodne z założeniami projektu – zwiększenie wpływu pracodawców na proces doradczy przyniesie obopólne korzyści (uczniowie zyskują aktualną wiedzę o zawodach, a pracodawcy możliwość przedstawienia swoich potrzeb). Od strony formalnej, sugerujemy dodanie w §4 ust. 3a projektu (dotyczącym opracowywania programu we współpracy z pracodawcami/izbami) zdania precyzującego minimalny wymiar tej współpracy w ciągu roku. Alternatywnie można dodać odpowiedni wymóg w zadaniach doradcy (§ 5) lub w zaleceniach programowych. Jasne zobowiązanie w przepisach ułatwi także późniejszą ewaluację (szkoły mogłyby raportować liczbę podjętych działań z partnerami).</w:t>
      </w:r>
    </w:p>
    <w:p w14:paraId="086C516D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Zapewnienie bezpieczeństwa i etyczności wykorzystania sztucznej inteligencji (AI) w narzędziach cyfrowych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projekt nakłada obowiązek wykorzystywania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cyfrowych narzędzi doradztwa zawodowego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(platform, baz danych, testów online itp.), jednak nie porusza kwestii bezpieczeństwa danych i etycznego korzystania z nowych technologii, w tym narzędzi opartych na sztucznej inteligencji. W dobie szybko rozwijających się rozwiązań AI (np. systemów rekomendujących ścieżki kariery czy analizujących predyspozycje uczniów na podstawie danych) konieczne jest zadbanie o to, by ich użycie w szkołach odbywało się z poszanowaniem prywatności i etyki.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Proponujemy uzupełnienie przepisów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np. poprzez dodanie w §5 ust. 1 pkt 7 (nowelizowanym, dot. cyfrowych narzędzi) sformułowania, że korzystanie z narzędzi cyfrowych odbywa się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„z zapewnieniem bezpieczeństwa danych oraz zgodnie z zasadami etyki doradztwa, w szczególności w odniesieniu do narzędzi wykorzystujących algorytmy sztucznej inteligencji”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. Można również rozważyć zobowiązanie Ministerstwa do opracowania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wytycznych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dla szkół w zakresie odpowiedzialnego korzystania z AI w doradztwie. </w:t>
      </w:r>
    </w:p>
    <w:p w14:paraId="3E7C8163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Jest to kwestia nowych zagrożeń i wyzwań, które nie istniały przy tworzeniu poprzedniego rozporządzenia. Doradztwo zawodowe coraz częściej sięga po inteligentne testy i aplikacje – warto więc już teraz, na poziomie regulacji, zwrócić uwagę na konieczność zachowania poufności informacji o uczniach, unikania stronniczości algorytmów oraz respektowania godności i autonomii młodzieży przy korzystaniu z takich narzędzi. Pod względem formalnym, dodanie takiego zastrzeżenia jest spójne z obowiązującymi przepisami o ochronie danych (RODO) i z etycznymi standardami zawodu doradcy. Zapewni to również rodzicom i uczniom gwarancję, że nowoczesne narzędzia będą używane odpowiedzialnie i w granicach obowiązującego prawa.</w:t>
      </w:r>
    </w:p>
    <w:p w14:paraId="497C950C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Obowiązkowe dostosowanie doradztwa do potrzeb uczniów ze specjalnymi potrzebami edukacyjnymi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w projekcie brakuje wyraźnego odniesienia do kwestii dostępności doradztwa dla uczniów z niepełnosprawnościami lub innymi specjalnymi potrzebami edukacyjnymi (SPE). Stowarzyszenie postuluje wprowadzenie przepisu nakładającego na szkoły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dostosowania form i metod doradztwa zawodowego do zróżnicowanych potrzeb uczniów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w tym uczniów z niepełnosprawnościami, zaburzeniami rozwojowymi czy uczniów wybitnie zdolnych. W praktyce oznacza to np. udostępnianie materiałów doradczych w formach alternatywnych (brajlowskiej, audiowizualnej z audiodeskrypcją, łatwym językiem), organizację spotkań z doradcą w warunkach odpowiednich dla uczniów z niepełnosprawnościami ruchowymi, a także bliską współpracę doradcy z nauczycielami wspomagającymi i pedagogami specjalnymi. </w:t>
      </w:r>
    </w:p>
    <w:p w14:paraId="4B6EBE48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zasadą inkluzji i równych szans, usługi doradztwa muszą być dostępne i skuteczne dla każdego ucznia, niezależnie od jego indywidualnych potrzeb. Prawo oświatowe oraz rozporządzenie o pomocy psychologiczno-pedagogicznej nakładają na szkoły obowiązek udzielania pomocy dostosowanej do potrzeb – doradztwo zawodowe powinno być traktowane jako część takiej pomocy. Brak explicitnego wskazania w obecnym rozporządzeniu może skutkować pomijaniem tej kwestii w praktyce.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Proponowana zmiana ma charakter formalny (dookreślenie obowiązków szkoły/doradcy) i merytoryczny (podkreślenie wagi równego dostępu). W projekcie można to zrealizować np. poprzez dodanie nowego ustępu (np. §8a ust. 2) o treści: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„Działania doradcze są planowane i realizowane z uwzględnieniem potrzeb uczniów ze specjalnymi potrzebami edukacyjnymi, w szczególności poprzez zapewnienie odpowiednich dostosowań organizacyjnych i metodycznych”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. Taki zapis wzmocni podstawy do egzekwowania należnych dostosowań i będzie zgodny z polityką państwa w zakresie edukacji włączającej.</w:t>
      </w:r>
    </w:p>
    <w:p w14:paraId="7286B096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Uwzględnienie w treściach programowych koncepcji mikro-poświadczeń i Zintegrowanego Systemu Kwalifikacji (ZSK)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rekomendujemy rozszerzenie treści programowych doradztwa (zwłaszcza na etapie szkoły ponadpodstawowej) o zagadnienia związane z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mikro-poświadczeniami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(mikrokwalifikacjami) oraz funkcjonowaniem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Zintegrowanego Systemu Kwalifikacji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. W dobie uczenia się przez całe życie i szybko zmieniających się wymagań rynku pracy coraz większe znaczenie mają krótkie formy kształcenia potwierdzone certyfikatami (tzw. micro-credentials) oraz krajowy system kwalifikacji, który pozwala formalnie uznawać różne efekty uczenia się zdobyte poza tradycyjną edukacją szkolną. Chcemy, aby uczniowie zostali zapoznani z możliwościami zdobywania kwalifikacji cząstkowych, kursowych, branżowych certyfikatów itp., a także z ideą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Ramy Kwalifikacji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i funkcjonowania ZSK (np. że istnieją kwalifikacje rynkowe, potwierdzane przez uprawnione podmioty poza systemem szkolnym).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Włączenie tych treści uaktualni program doradztwa o aspekty bardzo praktyczne i przyszłościowe. Uczniowie planujący karierę powinni wiedzieć, że obok dyplomu szkoły czy studiów mogą budować swoją wartość na rynku pracy poprzez zdobywanie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mikro-poświadczeń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(np. certyfikatów kursów językowych, programistycznych, kompetencji miękkich) oraz że istnieje państwowy system (ZSK) integrujący różne kwalifikacje. Formalnie, proponujemy dodać w odpowiednich załącznikach (np. dla liceów i techników) punkty dotyczące poznania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sposobów uzyskiwania kwalifikacji cząstkowych i funkcjonowania ZSK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. Pewne zmiany idą już w tym kierunku – w projekcie dodano np. zapis, że uczeń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„charakteryzuje wybrane zawody, uwzględniając kwalifikacje wyodrębnione w zawodach oraz możliwości ich uzyskiwania”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postulujemy jednak doprecyzowanie, że chodzi nie tylko o kwalifikacje szkolne, ale także kwalifikacje rynkowe i pozaszkolne. Taka zmiana jest spójna z obowiązującą ustawą z 22 grudnia 2015 r. o ZSK i nie generuje kosztów, a ma istotne walory merytoryczne dla świadomego planowania kariery przez młodzież.</w:t>
      </w:r>
    </w:p>
    <w:p w14:paraId="343161EE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Zapewnienie ewaluacji wdrożenia reformy doradztwa i ustalenie mierników do roku 2028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OSR projektu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nie przewiduje przeprowadzenia ewaluacji efektów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wprowadzanych zmian (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„Nie zakłada się ewaluacji efektów projektu”</w:t>
      </w:r>
      <w:hyperlink r:id="rId10" w:anchor=":~:text=Nie%20zak%C5%82ada%20si%C4%99%20ewaluacji%20efekt%C3%B3w,Brak" w:tgtFrame="_blank" w:history="1"/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). Uważamy to za poważny brak. Dla odpowiedzialnego wdrożenia reformy doradztwa zawodowego należy z góry zaplanować,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jak i kiedy zostaną ocenione jej rezultaty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oraz określić mierniki sukcesu. Proponujemy, by Ministerstwo Edukacji zobowiązało się do przeprowadzenia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kompleksowej ewaluacji wdrożenia nowych przepisów do końca roku 2028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(a więc po upływie ok. 2 lat od pełnego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wdrożenia zmian, które zgodnie z projektem nastąpi we wrześniu 2026 r.). W ewaluacji tej powinny zostać wykorzystane mierzalne wskaźniki, takie jak: liczba etatów doradców kariery w szkołach po reformie, średnia liczba działań doradczych realizowanych na jedną szkołę/ucznia, odsetek uczniów biorących udział w wizytach u pracodawców, poziom zadowolenia uczniów i rodziców z doradztwa (badany ankietowo), a także długofalowe wskaźniki jak przepływ absolwentów na rynek pracy czy zgodność wyborów edukacyjnych z potrzebami rynku (co może być mierzone m.in. poprzez istniejący monitoring karier absolwentów). </w:t>
      </w:r>
    </w:p>
    <w:p w14:paraId="6586AF9D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Uwzględnienie planu ewaluacji jest elementem dobrych praktyk legislacyjnych – pozwala korygować działania w trakcie, a także daje społeczności szkolnej informację, że wprowadzane zmiany będą monitorowane pod kątem skuteczności. Zgodnie z Uchwałą nr 190 RM z 2013 r. oraz wytycznymi do sporządzania OSR, każdy projekt regulacji powinien wskazywać sposób oceny jego efektów. Brak takiej informacji w OSR jest uchybieniem formalnym, które należałoby naprawić. Postulujemy zatem dodanie w OSR (i ewentualnie w uzasadnieniu) sekcji opisującej plan ewaluacji do 2028 r. Jeśli chodzi o formę prawną, można także rozważyć dodanie w samym rozporządzeniu przepisu zobowiązującego MEN do przedstawienia Radzie Ministrów raportu z realizacji rozporządzenia do końca 2028 r. (choć zazwyczaj takie postanowienia są formułowane raczej w OSR niż w treści aktu wykonawczego). Niemniej jednak, już samo dopisanie odpowiedzi na pytanie 12 OSR (dotyczące ewaluacji) byłoby cenną korektą – pokazującą, że ministerstwo planuje aktywnie nadzorować efekty reformy i w razie potrzeby podejmować działania korygujące.</w:t>
      </w:r>
    </w:p>
    <w:p w14:paraId="7B0C172A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Urealnienie kosztów wdrożenia w Ocenie Skutków Regulacji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zwracamy uwagę, że OSR obecnie stwierdza brak jakichkolwiek dodatkowych skutków finansowych projektu dla sektora finansów publicznych (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„Wejście w życie rozporządzenia nie spowoduje dodatkowych skutków finansowych dla sektora finansów publicznych”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) i we wszystkich rubrykach finansowych wpisano wartości zerowe. Uważamy, że takie założenie jest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nierealistyczne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zwłaszcza w kontekście ambitnych zmian programowych i organizacyjnych planowanych w doradztwie zawodowym. Już obecne zapisy projektu sugerują potrzebę poniesienia pewnych kosztów (np. przygotowanie nowych materiałów dydaktycznych, aktualizacja platform cyfrowych, potencjalne zwiększenie zaangażowania BCU i pracodawców – co może wymagać nakładów na logistykę wydarzeń). Co więcej, wiele z naszych powyższych postulatów (etatowi doradcy kariery, centralne szkolenia, więcej wizyt) również wiąże się z kosztami, które – jeśli zostałyby uwzględnione – powinny znaleźć odzwierciedlenie w OSR.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Proponujemy zrewidowanie OSR pod kątem kosztów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tak aby: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(a)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oszacować i uwzględnić środki potrzebne na przygotowanie i wdrożenie centralnego programu szkoleń dla doradców (patrz pkt 11 poniżej);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(b)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uwzględnić ewentualne zwiększenie subwencji oświatowej na dodatkowe etaty doradców (jeśli postulowany standard zatrudnienia zostanie przyjęty) lub na godziny doradztwa;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(c)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urealnić koszty organizacji dodatkowych działań doradczych (wizyt, warsztatów z udziałem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pracodawców – tu można założyć, że część kosztów poniosą sami pracodawcy lub BCU, ale szkoły również muszą dysponować środkami choćby na transport uczniów na wizyty itp.); </w:t>
      </w:r>
      <w:r w:rsidRPr="006D6EB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(d)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przewidzieć środki na ewaluację wdrożenia (badania, raporty do 2028 r.). </w:t>
      </w:r>
    </w:p>
    <w:p w14:paraId="19E18D23" w14:textId="77777777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Rzetelna ocena skutków finansowych jest wymogiem formalnym procesu legislacyjnego – organy opiniujące (m.in. Ministerstwo Finansów) powinny mieć klarowną informację, jakie koszty pociągnie za sobą nowelizacja. Wpisywanie zerowych wartości, mimo planowanych nowych zadań, może zostać odebrane jako próba uniknięcia dyskusji o zabezpieczeniu środków. Lepszym podejściem jest wskazanie nawet szacunkowych nakładów i źródeł finansowania (np. ze zwiększonej subwencji, z funduszy UE na rozwój doradztwa, z budżetu ORE na szkolenia, itp.). Warto zauważyć, że art. 3 ust. 2 ustawy o finansowaniu zadań oświatowych gwarantuje jednostkom samorządu terytorialnego środki na realizację zadań oświatowych, w tym wynagrodzenia nauczycieli – jeżeli więc nowe zadania doradców zostaną jasno określone, samorządy powinny otrzymać adekwatne zwiększenie środków. Korygując OSR, MEN wykaże dbałość o realistyczne planowanie wdrożenia, co przełoży się na sprawność realizacji nowych przepisów w praktyce.</w:t>
      </w:r>
    </w:p>
    <w:p w14:paraId="7CF03A53" w14:textId="77777777" w:rsidR="006D6EB5" w:rsidRPr="006D6EB5" w:rsidRDefault="006D6EB5" w:rsidP="006D6EB5">
      <w:pPr>
        <w:numPr>
          <w:ilvl w:val="0"/>
          <w:numId w:val="1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Centralny program szkoleń dla doradców przed wejściem w życie nowych przepisów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Ostatnia, ale niezwykle istotna kwestia: zapewnienie odpowiedniego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przygotowania kadr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do wdrożenia zmian. Proponujemy, aby Ministerstwo Edukacji (we współpracy np. z Ośrodkiem Rozwoju Edukacji) uruchomiło ogólnopolski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program szkoleń i doskonalenia dla doradców zawodowych (doradców kariery)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w okresie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przed wejściem w życie rozporządzenia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tj. w roku szkolnym 2025/2026. Szkolenia takie powinny objąć zarówno doradców zatrudnionych w szkołach, jak i innych nauczycieli realizujących zadania doradcze, a także doradców zatrudnionych w poradniach psychologiczno-pedagogicznych. Program mógłby zawierać: szkolenia stacjonarne i e-learningowe z nowych treści programowych (w tym tematy: prognozy rynku pracy, korzystanie z BCU, narzędzia cyfrowe, AI, mikro-poświadczenia itp.), warsztaty z metod pracy (np. jak prowadzić portfolio ucznia, jak organizować wizyty u pracodawców), a także elementy wymiany dobrych praktyk między doradcami. </w:t>
      </w:r>
    </w:p>
    <w:p w14:paraId="26FA6E5A" w14:textId="4460C271" w:rsidR="006D6EB5" w:rsidRPr="006D6EB5" w:rsidRDefault="006D6EB5" w:rsidP="006D6EB5">
      <w:pPr>
        <w:spacing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Uzasadnienie: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Sukces wdrożenia nowego rozporządzenia zależy w dużej mierze od tego, czy osoby odpowiedzialne za jego realizację posiadają odpowiednią wiedzę i umiejętności. Nasze Stowarzyszenie zrzesza doradców z całego kraju i wiemy, że środowisko oczekuje wsparcia merytorycznego przy wprowadzaniu zmian. Centralnie koordynowany program szkoleń (finansowany z budżetu MEN lub środków UE, np. z KPO) pozwoli ujednolicić poziom przygotowania w różnych regionach i zapobiegnie sytuacji, w której nowe wymagania wejdą w życie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 papierze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, ale część doradców nie będzie w pełni przygotowana do ich realizacji. Formalnie, postulujemy, aby kwestia szkoleń została odzwierciedlona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przynajmniej w OSR i uzasadnieniu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– np. w opisie sposobu wykonania rozporządzenia i we wspomnianym wyżej urealnieniu kosztów. Można wskazać, że planowane jest zorganizowanie szkoleń we współpracy z ORE i kuratoriami oświaty. Taki 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zapis nie stanowi normy prawnej, ale jest ważnym sygnałem dla środowiska doradców i dyrektorów szkół, że reforma będzie wdrażana z odpowiednim wsparciem ze strony organu prowadzącego. Warto także wziąć pod uwagę, by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vacatio legis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nowych regulacji było wystarczająco długie – obecnie projekt zakłada wejście większości przepisów 1 września 2026 r., co jest kierunkiem słusznym. Ważne, by ten czas został spożytkowany na przygotowanie merytoryczne kadr.</w:t>
      </w:r>
    </w:p>
    <w:p w14:paraId="70683142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836A484" w14:textId="4061C24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Podsumowanie: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Przedstawione powyżej uwagi Stowarzyszenia mają na celu uzupełnienie i doprecyzowanie projektu rozporządzenia tak, aby planowane zmiany w obszarze doradztwa zawodowego były skuteczne, trwałe i odpowiednio wspierane organizacyjnie. Nasze propozycje wynikają z doświadczeń praktyków – doradców kariery pracujących w szkołach – oraz z analizy strategicznych kierunków rozwoju poradnictwa edukacyjno-zawodowego. Uważamy, że przyjęcie powyższych postulatów przyczyni się do lepszego przygotowania młodzieży do wyborów edukacyjnych i zawodowych, co finalnie przełoży się na lepsze dopasowanie kwalifikacji przyszłych absolwentów do potrzeb rynku pracy i ich własnych aspiracji.</w:t>
      </w:r>
    </w:p>
    <w:p w14:paraId="13523964" w14:textId="54980B2C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Mając na uwadze powyższe, </w:t>
      </w:r>
      <w:r w:rsidRPr="006D6EB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wnioskujemy o uwzględnienie naszych uwag w finalnej wersji rozporządzenia</w:t>
      </w: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 xml:space="preserve"> oraz dokumentów towarzyszących. Jednocześnie deklarujemy gotowość do dalszej współpracy i konsultacji przy wdrażaniu nowych rozwiązań. Jako organizacja skupiająca doradców, oferujemy nasze eksperckie wsparcie merytoryczne przy opracowywaniu szczegółowych wytycznych, programów szkoleń czy materiałów dydaktycznych związanych z reformą doradztwa zawodowego.</w:t>
      </w:r>
    </w:p>
    <w:p w14:paraId="54707836" w14:textId="1CBB1C25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C08302" w14:textId="3FEF8416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EEA4C" w14:textId="7AC86C24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6EB5">
        <w:rPr>
          <w:rFonts w:ascii="Calibri" w:eastAsia="Times New Roman" w:hAnsi="Calibri" w:cs="Calibri"/>
          <w:sz w:val="24"/>
          <w:szCs w:val="24"/>
          <w:lang w:eastAsia="pl-PL"/>
        </w:rPr>
        <w:t>Z wyrazami szacunku,</w:t>
      </w:r>
    </w:p>
    <w:p w14:paraId="5F1F4823" w14:textId="48BF206B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1F6172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EA407C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6EB5" w:rsidRPr="006D6EB5" w14:paraId="0162779F" w14:textId="77777777" w:rsidTr="000B7207">
        <w:trPr>
          <w:jc w:val="center"/>
        </w:trPr>
        <w:tc>
          <w:tcPr>
            <w:tcW w:w="4531" w:type="dxa"/>
          </w:tcPr>
          <w:p w14:paraId="49B8A85E" w14:textId="4A51AD27" w:rsidR="006D6EB5" w:rsidRPr="006D6EB5" w:rsidRDefault="006D6EB5" w:rsidP="006D6EB5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 w:rsidRPr="006D6EB5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……………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Mirosław Żurek </w:t>
            </w:r>
            <w:r w:rsidRPr="006D6EB5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………………….</w:t>
            </w:r>
          </w:p>
        </w:tc>
        <w:tc>
          <w:tcPr>
            <w:tcW w:w="4531" w:type="dxa"/>
          </w:tcPr>
          <w:p w14:paraId="4C1FF763" w14:textId="67F185E0" w:rsidR="006D6EB5" w:rsidRPr="006D6EB5" w:rsidRDefault="006D6EB5" w:rsidP="006D6EB5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69126741" wp14:editId="069FAF9C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-367895</wp:posOffset>
                  </wp:positionV>
                  <wp:extent cx="2101828" cy="985750"/>
                  <wp:effectExtent l="0" t="0" r="0" b="0"/>
                  <wp:wrapNone/>
                  <wp:docPr id="1705801296" name="Obraz 1" descr="Obraz zawierający pismo odręczne, Czcionka, kaligrafia, tablic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01296" name="Obraz 1" descr="Obraz zawierający pismo odręczne, Czcionka, kaligrafia, tablica&#10;&#10;Zawartość wygenerowana przez AI może być niepoprawna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205" cy="98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6EB5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…………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Tomasz Magnowski</w:t>
            </w:r>
            <w:r w:rsidRPr="006D6EB5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………….</w:t>
            </w:r>
          </w:p>
        </w:tc>
      </w:tr>
      <w:tr w:rsidR="006D6EB5" w:rsidRPr="006D6EB5" w14:paraId="244DDFC3" w14:textId="77777777" w:rsidTr="000B7207">
        <w:trPr>
          <w:jc w:val="center"/>
        </w:trPr>
        <w:tc>
          <w:tcPr>
            <w:tcW w:w="4531" w:type="dxa"/>
          </w:tcPr>
          <w:p w14:paraId="3993BC65" w14:textId="6EAE0678" w:rsidR="006D6EB5" w:rsidRPr="006D6EB5" w:rsidRDefault="006D6EB5" w:rsidP="006D6EB5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 w:rsidRPr="006D6EB5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Członek 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ZG SDSiZ RP</w:t>
            </w:r>
          </w:p>
        </w:tc>
        <w:tc>
          <w:tcPr>
            <w:tcW w:w="4531" w:type="dxa"/>
          </w:tcPr>
          <w:p w14:paraId="73AF39EB" w14:textId="4727F793" w:rsidR="006D6EB5" w:rsidRPr="006D6EB5" w:rsidRDefault="006D6EB5" w:rsidP="006D6EB5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Przewodniczący ZG SDSiZ RP</w:t>
            </w:r>
          </w:p>
        </w:tc>
      </w:tr>
    </w:tbl>
    <w:p w14:paraId="5A8E0B30" w14:textId="77777777" w:rsidR="006D6EB5" w:rsidRPr="006D6EB5" w:rsidRDefault="006D6EB5" w:rsidP="006D6EB5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934056" w14:textId="4937AE06" w:rsidR="000330A5" w:rsidRPr="006D6EB5" w:rsidRDefault="000330A5" w:rsidP="006D6EB5">
      <w:pPr>
        <w:tabs>
          <w:tab w:val="left" w:pos="3218"/>
        </w:tabs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sectPr w:rsidR="000330A5" w:rsidRPr="006D6EB5" w:rsidSect="006F0F08">
      <w:headerReference w:type="default" r:id="rId12"/>
      <w:footerReference w:type="default" r:id="rId13"/>
      <w:pgSz w:w="11906" w:h="16838"/>
      <w:pgMar w:top="1474" w:right="1418" w:bottom="187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B3" w14:textId="77777777" w:rsidR="00372756" w:rsidRDefault="00372756">
      <w:r>
        <w:separator/>
      </w:r>
    </w:p>
  </w:endnote>
  <w:endnote w:type="continuationSeparator" w:id="0">
    <w:p w14:paraId="2F53AF0C" w14:textId="77777777" w:rsidR="00372756" w:rsidRDefault="0037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stocr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9DFB" w14:textId="77777777" w:rsidR="006D6EB5" w:rsidRDefault="006D6EB5" w:rsidP="00823839">
    <w:pPr>
      <w:pBdr>
        <w:bottom w:val="single" w:sz="6" w:space="1" w:color="auto"/>
      </w:pBdr>
      <w:rPr>
        <w:rFonts w:ascii="Arial" w:hAnsi="Arial"/>
        <w:sz w:val="16"/>
        <w:szCs w:val="16"/>
      </w:rPr>
    </w:pPr>
  </w:p>
  <w:p w14:paraId="16D76B0C" w14:textId="77777777" w:rsidR="006D6EB5" w:rsidRDefault="006D6EB5" w:rsidP="006F0F08">
    <w:pPr>
      <w:rPr>
        <w:rFonts w:ascii="Arial" w:hAnsi="Arial"/>
        <w:sz w:val="16"/>
        <w:szCs w:val="16"/>
      </w:rPr>
    </w:pPr>
  </w:p>
  <w:p w14:paraId="61325C10" w14:textId="77777777" w:rsidR="006D6EB5" w:rsidRDefault="006D6EB5" w:rsidP="006F0F08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DAC1" w14:textId="77777777" w:rsidR="00372756" w:rsidRDefault="00372756">
      <w:r>
        <w:separator/>
      </w:r>
    </w:p>
  </w:footnote>
  <w:footnote w:type="continuationSeparator" w:id="0">
    <w:p w14:paraId="32D6004A" w14:textId="77777777" w:rsidR="00372756" w:rsidRDefault="0037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ED8E" w14:textId="1C3F6935" w:rsidR="008F2EED" w:rsidRDefault="008F2EED" w:rsidP="008F2E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131"/>
    <w:multiLevelType w:val="hybridMultilevel"/>
    <w:tmpl w:val="7C542A22"/>
    <w:lvl w:ilvl="0" w:tplc="04FC7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3A0B52"/>
    <w:multiLevelType w:val="hybridMultilevel"/>
    <w:tmpl w:val="14927D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139B2"/>
    <w:multiLevelType w:val="hybridMultilevel"/>
    <w:tmpl w:val="2D70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8541704"/>
    <w:multiLevelType w:val="hybridMultilevel"/>
    <w:tmpl w:val="51020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74CD7"/>
    <w:multiLevelType w:val="hybridMultilevel"/>
    <w:tmpl w:val="2DC2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12D4"/>
    <w:multiLevelType w:val="hybridMultilevel"/>
    <w:tmpl w:val="F7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836B7"/>
    <w:multiLevelType w:val="hybridMultilevel"/>
    <w:tmpl w:val="6BE6EB9A"/>
    <w:lvl w:ilvl="0" w:tplc="F0964654">
      <w:start w:val="7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3637A2F"/>
    <w:multiLevelType w:val="hybridMultilevel"/>
    <w:tmpl w:val="3E5CB738"/>
    <w:lvl w:ilvl="0" w:tplc="04FC7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E3B79E8"/>
    <w:multiLevelType w:val="hybridMultilevel"/>
    <w:tmpl w:val="987AF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2110E09"/>
    <w:multiLevelType w:val="hybridMultilevel"/>
    <w:tmpl w:val="65EA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23B4F"/>
    <w:multiLevelType w:val="hybridMultilevel"/>
    <w:tmpl w:val="11043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3A4D"/>
    <w:multiLevelType w:val="hybridMultilevel"/>
    <w:tmpl w:val="C824B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A66B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67E4E6F"/>
    <w:multiLevelType w:val="hybridMultilevel"/>
    <w:tmpl w:val="9DCE76C0"/>
    <w:lvl w:ilvl="0" w:tplc="04FC74EC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92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5712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52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7872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1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B6D15DC"/>
    <w:multiLevelType w:val="multilevel"/>
    <w:tmpl w:val="7BBAE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A9D1E2F"/>
    <w:multiLevelType w:val="hybridMultilevel"/>
    <w:tmpl w:val="307EBC8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694931">
    <w:abstractNumId w:val="5"/>
  </w:num>
  <w:num w:numId="2" w16cid:durableId="133259576">
    <w:abstractNumId w:val="3"/>
  </w:num>
  <w:num w:numId="3" w16cid:durableId="371349024">
    <w:abstractNumId w:val="10"/>
  </w:num>
  <w:num w:numId="4" w16cid:durableId="585573802">
    <w:abstractNumId w:val="9"/>
  </w:num>
  <w:num w:numId="5" w16cid:durableId="560287751">
    <w:abstractNumId w:val="14"/>
  </w:num>
  <w:num w:numId="6" w16cid:durableId="1522547127">
    <w:abstractNumId w:val="1"/>
  </w:num>
  <w:num w:numId="7" w16cid:durableId="1367098496">
    <w:abstractNumId w:val="6"/>
  </w:num>
  <w:num w:numId="8" w16cid:durableId="1535999461">
    <w:abstractNumId w:val="2"/>
  </w:num>
  <w:num w:numId="9" w16cid:durableId="64381709">
    <w:abstractNumId w:val="8"/>
  </w:num>
  <w:num w:numId="10" w16cid:durableId="1509978182">
    <w:abstractNumId w:val="7"/>
  </w:num>
  <w:num w:numId="11" w16cid:durableId="977537251">
    <w:abstractNumId w:val="12"/>
  </w:num>
  <w:num w:numId="12" w16cid:durableId="925650049">
    <w:abstractNumId w:val="0"/>
  </w:num>
  <w:num w:numId="13" w16cid:durableId="1398019923">
    <w:abstractNumId w:val="11"/>
  </w:num>
  <w:num w:numId="14" w16cid:durableId="1472674345">
    <w:abstractNumId w:val="4"/>
  </w:num>
  <w:num w:numId="15" w16cid:durableId="1486821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A8"/>
    <w:rsid w:val="00000450"/>
    <w:rsid w:val="000330A5"/>
    <w:rsid w:val="001747D3"/>
    <w:rsid w:val="001E69D3"/>
    <w:rsid w:val="00285B77"/>
    <w:rsid w:val="00296D2E"/>
    <w:rsid w:val="00297A34"/>
    <w:rsid w:val="002B0118"/>
    <w:rsid w:val="003109CA"/>
    <w:rsid w:val="003168EE"/>
    <w:rsid w:val="00372756"/>
    <w:rsid w:val="00401C8D"/>
    <w:rsid w:val="00432E25"/>
    <w:rsid w:val="004351DB"/>
    <w:rsid w:val="00465572"/>
    <w:rsid w:val="0049606B"/>
    <w:rsid w:val="004A19EE"/>
    <w:rsid w:val="004B6534"/>
    <w:rsid w:val="004E705F"/>
    <w:rsid w:val="004F26B5"/>
    <w:rsid w:val="00502A02"/>
    <w:rsid w:val="005B4AC3"/>
    <w:rsid w:val="005E0C15"/>
    <w:rsid w:val="0063182E"/>
    <w:rsid w:val="006B2D37"/>
    <w:rsid w:val="006D6EB5"/>
    <w:rsid w:val="00763FA2"/>
    <w:rsid w:val="007B0BE6"/>
    <w:rsid w:val="007E0C31"/>
    <w:rsid w:val="00823839"/>
    <w:rsid w:val="0082682D"/>
    <w:rsid w:val="008C2D16"/>
    <w:rsid w:val="008E22FC"/>
    <w:rsid w:val="008E3BA4"/>
    <w:rsid w:val="008F2EED"/>
    <w:rsid w:val="008F5963"/>
    <w:rsid w:val="00912C98"/>
    <w:rsid w:val="00915F87"/>
    <w:rsid w:val="00944B6B"/>
    <w:rsid w:val="00A216F6"/>
    <w:rsid w:val="00A2236C"/>
    <w:rsid w:val="00A414D5"/>
    <w:rsid w:val="00A85756"/>
    <w:rsid w:val="00C557F4"/>
    <w:rsid w:val="00CF6C65"/>
    <w:rsid w:val="00D06C9D"/>
    <w:rsid w:val="00D30DDA"/>
    <w:rsid w:val="00D42434"/>
    <w:rsid w:val="00DB29EC"/>
    <w:rsid w:val="00E8654E"/>
    <w:rsid w:val="00ED00FD"/>
    <w:rsid w:val="00ED090B"/>
    <w:rsid w:val="00ED39BB"/>
    <w:rsid w:val="00F344ED"/>
    <w:rsid w:val="00F401A8"/>
    <w:rsid w:val="00F43833"/>
    <w:rsid w:val="00F66F04"/>
    <w:rsid w:val="00FA05AB"/>
    <w:rsid w:val="00FB1ACF"/>
    <w:rsid w:val="00FB290F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CB4C2"/>
  <w15:docId w15:val="{0F08593B-577B-4824-893E-DD19B2EC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1A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F401A8"/>
    <w:pPr>
      <w:keepNext/>
      <w:outlineLvl w:val="0"/>
    </w:pPr>
    <w:rPr>
      <w:rFonts w:ascii="Aristocrat" w:eastAsia="Times New Roman" w:hAnsi="Aristocrat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01A8"/>
    <w:rPr>
      <w:rFonts w:ascii="Aristocrat" w:eastAsia="Times New Roman" w:hAnsi="Aristocrat" w:cs="Times New Roman"/>
      <w:sz w:val="28"/>
      <w:szCs w:val="20"/>
      <w:lang w:eastAsia="pl-PL"/>
    </w:rPr>
  </w:style>
  <w:style w:type="character" w:styleId="Hipercze">
    <w:name w:val="Hyperlink"/>
    <w:rsid w:val="00F401A8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401A8"/>
    <w:pPr>
      <w:ind w:left="720"/>
      <w:contextualSpacing/>
    </w:pPr>
  </w:style>
  <w:style w:type="paragraph" w:customStyle="1" w:styleId="Akapitzlist1">
    <w:name w:val="Akapit z listą1"/>
    <w:basedOn w:val="Normalny"/>
    <w:rsid w:val="00F401A8"/>
    <w:pPr>
      <w:spacing w:after="200" w:line="276" w:lineRule="auto"/>
      <w:ind w:left="720"/>
    </w:pPr>
    <w:rPr>
      <w:rFonts w:ascii="Calibri" w:eastAsia="Times New Roman" w:hAnsi="Calibri"/>
      <w:sz w:val="24"/>
      <w:lang w:val="en-US" w:bidi="en-US"/>
    </w:rPr>
  </w:style>
  <w:style w:type="character" w:styleId="Pogrubienie">
    <w:name w:val="Strong"/>
    <w:basedOn w:val="Domylnaczcionkaakapitu"/>
    <w:uiPriority w:val="22"/>
    <w:qFormat/>
    <w:rsid w:val="00F4383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43833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3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839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3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839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572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D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iz.com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pp.pl/storage/library/2025-10/251b5d181b4cf4c7882c54c2de862ef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dsiz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3666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Tomasz Magnowski</cp:lastModifiedBy>
  <cp:revision>2</cp:revision>
  <cp:lastPrinted>2017-06-11T18:35:00Z</cp:lastPrinted>
  <dcterms:created xsi:type="dcterms:W3CDTF">2025-10-29T16:24:00Z</dcterms:created>
  <dcterms:modified xsi:type="dcterms:W3CDTF">2025-10-29T16:24:00Z</dcterms:modified>
</cp:coreProperties>
</file>